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840" w:rsidRPr="00585587" w:rsidRDefault="00BF5840" w:rsidP="00BF5840">
      <w:pPr>
        <w:spacing w:line="360" w:lineRule="auto"/>
        <w:rPr>
          <w:rFonts w:ascii="Arial" w:eastAsiaTheme="minorEastAsia" w:hAnsi="Arial" w:cs="Arial"/>
          <w:b/>
          <w:kern w:val="24"/>
        </w:rPr>
      </w:pPr>
      <w:r w:rsidRPr="00585587">
        <w:rPr>
          <w:rFonts w:ascii="Arial" w:eastAsiaTheme="minorEastAsia" w:hAnsi="Arial" w:cs="Arial"/>
          <w:b/>
          <w:kern w:val="24"/>
        </w:rPr>
        <w:t xml:space="preserve">Bijlage 1 Resultaten vragenlijsten </w:t>
      </w:r>
      <w:proofErr w:type="spellStart"/>
      <w:r w:rsidRPr="00585587">
        <w:rPr>
          <w:rFonts w:ascii="Arial" w:eastAsiaTheme="minorEastAsia" w:hAnsi="Arial" w:cs="Arial"/>
          <w:b/>
          <w:kern w:val="24"/>
        </w:rPr>
        <w:t>GGD’en</w:t>
      </w:r>
      <w:proofErr w:type="spellEnd"/>
    </w:p>
    <w:p w:rsidR="00BF5840" w:rsidRPr="00585587" w:rsidRDefault="00BF5840" w:rsidP="00BF5840">
      <w:pPr>
        <w:spacing w:line="360" w:lineRule="auto"/>
        <w:rPr>
          <w:rFonts w:ascii="Arial" w:hAnsi="Arial" w:cs="Arial"/>
          <w:color w:val="000000"/>
          <w:szCs w:val="20"/>
        </w:rPr>
      </w:pPr>
    </w:p>
    <w:p w:rsidR="00BF5840" w:rsidRPr="00BF5840" w:rsidRDefault="00BF5840" w:rsidP="00BF584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Cs w:val="20"/>
        </w:rPr>
      </w:pPr>
      <w:r w:rsidRPr="00BF5840">
        <w:rPr>
          <w:rFonts w:ascii="Arial" w:hAnsi="Arial" w:cs="Arial"/>
          <w:color w:val="000000"/>
          <w:szCs w:val="20"/>
        </w:rPr>
        <w:t xml:space="preserve">21 van de 25 </w:t>
      </w:r>
      <w:proofErr w:type="spellStart"/>
      <w:r w:rsidRPr="00BF5840">
        <w:rPr>
          <w:rFonts w:ascii="Arial" w:hAnsi="Arial" w:cs="Arial"/>
          <w:color w:val="000000"/>
          <w:szCs w:val="20"/>
        </w:rPr>
        <w:t>GGD’en</w:t>
      </w:r>
      <w:proofErr w:type="spellEnd"/>
      <w:r w:rsidRPr="00BF5840">
        <w:rPr>
          <w:rFonts w:ascii="Arial" w:hAnsi="Arial" w:cs="Arial"/>
          <w:color w:val="000000"/>
          <w:szCs w:val="20"/>
        </w:rPr>
        <w:t xml:space="preserve"> hebben de vragenlijst ingevuld (respons 84%). </w:t>
      </w:r>
    </w:p>
    <w:p w:rsidR="00BF5840" w:rsidRDefault="00BF5840" w:rsidP="00BF5840">
      <w:pPr>
        <w:spacing w:line="360" w:lineRule="auto"/>
        <w:rPr>
          <w:rFonts w:ascii="Arial" w:hAnsi="Arial" w:cs="Arial"/>
          <w:szCs w:val="20"/>
        </w:rPr>
      </w:pPr>
      <w:bookmarkStart w:id="0" w:name="_GoBack"/>
    </w:p>
    <w:bookmarkEnd w:id="0"/>
    <w:p w:rsidR="00BF5840" w:rsidRPr="00BF5840" w:rsidRDefault="00BF5840" w:rsidP="00BF584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0"/>
        </w:rPr>
      </w:pPr>
      <w:r w:rsidRPr="00BF5840">
        <w:rPr>
          <w:rFonts w:ascii="Arial" w:hAnsi="Arial" w:cs="Arial"/>
          <w:szCs w:val="20"/>
        </w:rPr>
        <w:t>Uitvoeren fecesonderzoek:</w:t>
      </w:r>
    </w:p>
    <w:p w:rsidR="00BF5840" w:rsidRPr="00585587" w:rsidRDefault="00BF5840" w:rsidP="00BF5840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="Arial" w:eastAsia="Times New Roman" w:hAnsi="Arial" w:cs="Arial"/>
          <w:szCs w:val="20"/>
          <w:lang w:eastAsia="nl-NL"/>
        </w:rPr>
      </w:pPr>
      <w:r w:rsidRPr="00585587">
        <w:rPr>
          <w:rFonts w:ascii="Arial" w:eastAsia="Times New Roman" w:hAnsi="Arial" w:cs="Arial"/>
          <w:szCs w:val="20"/>
          <w:lang w:eastAsia="nl-NL"/>
        </w:rPr>
        <w:t xml:space="preserve">Bij 13 van de 21 </w:t>
      </w:r>
      <w:proofErr w:type="spellStart"/>
      <w:r w:rsidRPr="00585587">
        <w:rPr>
          <w:rFonts w:ascii="Arial" w:eastAsia="Times New Roman" w:hAnsi="Arial" w:cs="Arial"/>
          <w:szCs w:val="20"/>
          <w:lang w:eastAsia="nl-NL"/>
        </w:rPr>
        <w:t>GGD’en</w:t>
      </w:r>
      <w:proofErr w:type="spellEnd"/>
      <w:r w:rsidRPr="00585587">
        <w:rPr>
          <w:rFonts w:ascii="Arial" w:eastAsia="Times New Roman" w:hAnsi="Arial" w:cs="Arial"/>
          <w:szCs w:val="20"/>
          <w:lang w:eastAsia="nl-NL"/>
        </w:rPr>
        <w:t xml:space="preserve"> (62%) verloopt het versturen van het fecesonderzoek (mede) via de huisarts. De andere </w:t>
      </w:r>
      <w:proofErr w:type="spellStart"/>
      <w:r w:rsidRPr="00585587">
        <w:rPr>
          <w:rFonts w:ascii="Arial" w:eastAsia="Times New Roman" w:hAnsi="Arial" w:cs="Arial"/>
          <w:szCs w:val="20"/>
          <w:lang w:eastAsia="nl-NL"/>
        </w:rPr>
        <w:t>GGD’en</w:t>
      </w:r>
      <w:proofErr w:type="spellEnd"/>
      <w:r w:rsidRPr="00585587">
        <w:rPr>
          <w:rFonts w:ascii="Arial" w:eastAsia="Times New Roman" w:hAnsi="Arial" w:cs="Arial"/>
          <w:szCs w:val="20"/>
          <w:lang w:eastAsia="nl-NL"/>
        </w:rPr>
        <w:t xml:space="preserve"> organiseren het zelf, waarbij het contact dit zelf bij het laboratorium brengt of dit via de post opstuurt.</w:t>
      </w:r>
    </w:p>
    <w:p w:rsidR="00BF5840" w:rsidRDefault="00BF5840" w:rsidP="00BF5840">
      <w:pPr>
        <w:spacing w:line="360" w:lineRule="auto"/>
        <w:rPr>
          <w:rFonts w:ascii="Arial" w:hAnsi="Arial" w:cs="Arial"/>
          <w:color w:val="000000"/>
          <w:szCs w:val="20"/>
        </w:rPr>
      </w:pPr>
    </w:p>
    <w:p w:rsidR="00BF5840" w:rsidRPr="00BF5840" w:rsidRDefault="00BF5840" w:rsidP="00BF584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Cs w:val="20"/>
        </w:rPr>
      </w:pPr>
      <w:r w:rsidRPr="00BF5840">
        <w:rPr>
          <w:rFonts w:ascii="Arial" w:hAnsi="Arial" w:cs="Arial"/>
          <w:color w:val="000000"/>
          <w:szCs w:val="20"/>
        </w:rPr>
        <w:t xml:space="preserve">Wel of niet inzetten van fecesonderzoek bij contacten: </w:t>
      </w:r>
    </w:p>
    <w:p w:rsidR="00BF5840" w:rsidRPr="00BF5840" w:rsidRDefault="00BF5840" w:rsidP="00BF5840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Cs w:val="20"/>
          <w:lang w:eastAsia="nl-NL"/>
        </w:rPr>
      </w:pPr>
      <w:r w:rsidRPr="00BF5840">
        <w:rPr>
          <w:rFonts w:ascii="Arial" w:hAnsi="Arial" w:cs="Arial"/>
          <w:color w:val="000000"/>
          <w:szCs w:val="20"/>
        </w:rPr>
        <w:t xml:space="preserve">5 van de 21 </w:t>
      </w:r>
      <w:proofErr w:type="spellStart"/>
      <w:r w:rsidRPr="00BF5840">
        <w:rPr>
          <w:rFonts w:ascii="Arial" w:hAnsi="Arial" w:cs="Arial"/>
          <w:color w:val="000000"/>
          <w:szCs w:val="20"/>
        </w:rPr>
        <w:t>GGD’en</w:t>
      </w:r>
      <w:proofErr w:type="spellEnd"/>
      <w:r w:rsidRPr="00BF5840">
        <w:rPr>
          <w:rFonts w:ascii="Arial" w:hAnsi="Arial" w:cs="Arial"/>
          <w:color w:val="000000"/>
          <w:szCs w:val="20"/>
        </w:rPr>
        <w:t xml:space="preserve"> (23%) volgen de LCI</w:t>
      </w:r>
      <w:r w:rsidR="004B723A">
        <w:rPr>
          <w:rFonts w:ascii="Arial" w:hAnsi="Arial" w:cs="Arial"/>
          <w:color w:val="000000"/>
          <w:szCs w:val="20"/>
        </w:rPr>
        <w:t>-</w:t>
      </w:r>
      <w:r w:rsidRPr="00BF5840">
        <w:rPr>
          <w:rFonts w:ascii="Arial" w:hAnsi="Arial" w:cs="Arial"/>
          <w:color w:val="000000"/>
          <w:szCs w:val="20"/>
        </w:rPr>
        <w:t xml:space="preserve">richtlijn niet letterlijk op: </w:t>
      </w:r>
      <w:r w:rsidRPr="00BF5840">
        <w:rPr>
          <w:rFonts w:ascii="Arial" w:hAnsi="Arial" w:cs="Arial"/>
          <w:color w:val="000000"/>
          <w:szCs w:val="20"/>
        </w:rPr>
        <w:br/>
      </w:r>
      <w:r w:rsidRPr="00BF5840">
        <w:rPr>
          <w:rFonts w:ascii="Arial" w:eastAsia="Times New Roman" w:hAnsi="Arial" w:cs="Arial"/>
          <w:szCs w:val="20"/>
          <w:lang w:eastAsia="nl-NL"/>
        </w:rPr>
        <w:t xml:space="preserve">      4 maal afwijking in de groepen bij wie men fecesonderzoek doet, namelijk: </w:t>
      </w:r>
    </w:p>
    <w:p w:rsidR="00BF5840" w:rsidRPr="00585587" w:rsidRDefault="00BF5840" w:rsidP="00BF5840">
      <w:pPr>
        <w:pStyle w:val="ListParagraph"/>
        <w:numPr>
          <w:ilvl w:val="1"/>
          <w:numId w:val="1"/>
        </w:numPr>
        <w:spacing w:line="360" w:lineRule="auto"/>
        <w:textAlignment w:val="baseline"/>
        <w:rPr>
          <w:rFonts w:ascii="Arial" w:eastAsia="Times New Roman" w:hAnsi="Arial" w:cs="Arial"/>
          <w:szCs w:val="20"/>
          <w:lang w:eastAsia="nl-NL"/>
        </w:rPr>
      </w:pPr>
      <w:r w:rsidRPr="00585587">
        <w:rPr>
          <w:rFonts w:ascii="Arial" w:eastAsia="Times New Roman" w:hAnsi="Arial" w:cs="Arial"/>
          <w:szCs w:val="20"/>
          <w:lang w:eastAsia="nl-NL"/>
        </w:rPr>
        <w:t>alléén als een positieve uitslag zou leiden tot wering</w:t>
      </w:r>
      <w:r w:rsidR="004B723A">
        <w:rPr>
          <w:rFonts w:ascii="Arial" w:eastAsia="Times New Roman" w:hAnsi="Arial" w:cs="Arial"/>
          <w:szCs w:val="20"/>
          <w:lang w:eastAsia="nl-NL"/>
        </w:rPr>
        <w:t>,</w:t>
      </w:r>
      <w:r w:rsidRPr="00585587">
        <w:rPr>
          <w:rFonts w:ascii="Arial" w:eastAsia="Times New Roman" w:hAnsi="Arial" w:cs="Arial"/>
          <w:szCs w:val="20"/>
          <w:lang w:eastAsia="nl-NL"/>
        </w:rPr>
        <w:t xml:space="preserve"> </w:t>
      </w:r>
    </w:p>
    <w:p w:rsidR="00BF5840" w:rsidRPr="00585587" w:rsidRDefault="00BF5840" w:rsidP="00BF5840">
      <w:pPr>
        <w:pStyle w:val="ListParagraph"/>
        <w:numPr>
          <w:ilvl w:val="1"/>
          <w:numId w:val="1"/>
        </w:numPr>
        <w:spacing w:line="360" w:lineRule="auto"/>
        <w:textAlignment w:val="baseline"/>
        <w:rPr>
          <w:rFonts w:ascii="Arial" w:eastAsia="Times New Roman" w:hAnsi="Arial" w:cs="Arial"/>
          <w:szCs w:val="20"/>
          <w:lang w:eastAsia="nl-NL"/>
        </w:rPr>
      </w:pPr>
      <w:r w:rsidRPr="00585587">
        <w:rPr>
          <w:rFonts w:ascii="Arial" w:eastAsia="Times New Roman" w:hAnsi="Arial" w:cs="Arial"/>
          <w:szCs w:val="20"/>
          <w:lang w:eastAsia="nl-NL"/>
        </w:rPr>
        <w:t>niet als 1</w:t>
      </w:r>
      <w:r w:rsidRPr="00585587">
        <w:rPr>
          <w:rFonts w:ascii="Arial" w:eastAsia="Times New Roman" w:hAnsi="Arial" w:cs="Arial"/>
          <w:szCs w:val="20"/>
          <w:vertAlign w:val="superscript"/>
          <w:lang w:eastAsia="nl-NL"/>
        </w:rPr>
        <w:t>e</w:t>
      </w:r>
      <w:r w:rsidRPr="00585587">
        <w:rPr>
          <w:rFonts w:ascii="Arial" w:eastAsia="Times New Roman" w:hAnsi="Arial" w:cs="Arial"/>
          <w:szCs w:val="20"/>
          <w:lang w:eastAsia="nl-NL"/>
        </w:rPr>
        <w:t xml:space="preserve"> ziektedag index te lang geleden is en als contacten die werkzaam</w:t>
      </w:r>
      <w:r w:rsidR="004B723A">
        <w:rPr>
          <w:rFonts w:ascii="Arial" w:eastAsia="Times New Roman" w:hAnsi="Arial" w:cs="Arial"/>
          <w:szCs w:val="20"/>
          <w:lang w:eastAsia="nl-NL"/>
        </w:rPr>
        <w:t>,</w:t>
      </w:r>
      <w:r w:rsidRPr="00585587">
        <w:rPr>
          <w:rFonts w:ascii="Arial" w:eastAsia="Times New Roman" w:hAnsi="Arial" w:cs="Arial"/>
          <w:szCs w:val="20"/>
          <w:lang w:eastAsia="nl-NL"/>
        </w:rPr>
        <w:t xml:space="preserve"> zijn in de zorg/levensmiddelenindustrie geen klachten hebben</w:t>
      </w:r>
      <w:r w:rsidR="004B723A">
        <w:rPr>
          <w:rFonts w:ascii="Arial" w:eastAsia="Times New Roman" w:hAnsi="Arial" w:cs="Arial"/>
          <w:szCs w:val="20"/>
          <w:lang w:eastAsia="nl-NL"/>
        </w:rPr>
        <w:t>,</w:t>
      </w:r>
      <w:r w:rsidRPr="00585587">
        <w:rPr>
          <w:rFonts w:ascii="Arial" w:eastAsia="Times New Roman" w:hAnsi="Arial" w:cs="Arial"/>
          <w:szCs w:val="20"/>
          <w:lang w:eastAsia="nl-NL"/>
        </w:rPr>
        <w:t xml:space="preserve"> </w:t>
      </w:r>
    </w:p>
    <w:p w:rsidR="00BF5840" w:rsidRPr="00585587" w:rsidRDefault="00BF5840" w:rsidP="00BF5840">
      <w:pPr>
        <w:pStyle w:val="ListParagraph"/>
        <w:numPr>
          <w:ilvl w:val="1"/>
          <w:numId w:val="1"/>
        </w:numPr>
        <w:spacing w:line="360" w:lineRule="auto"/>
        <w:textAlignment w:val="baseline"/>
        <w:rPr>
          <w:rFonts w:ascii="Arial" w:eastAsia="Times New Roman" w:hAnsi="Arial" w:cs="Arial"/>
          <w:szCs w:val="20"/>
          <w:lang w:eastAsia="nl-NL"/>
        </w:rPr>
      </w:pPr>
      <w:r w:rsidRPr="00585587">
        <w:rPr>
          <w:rFonts w:ascii="Arial" w:eastAsia="Times New Roman" w:hAnsi="Arial" w:cs="Arial"/>
          <w:szCs w:val="20"/>
          <w:lang w:eastAsia="nl-NL"/>
        </w:rPr>
        <w:t>niet als 1</w:t>
      </w:r>
      <w:r w:rsidRPr="00585587">
        <w:rPr>
          <w:rFonts w:ascii="Arial" w:eastAsia="Times New Roman" w:hAnsi="Arial" w:cs="Arial"/>
          <w:szCs w:val="20"/>
          <w:vertAlign w:val="superscript"/>
          <w:lang w:eastAsia="nl-NL"/>
        </w:rPr>
        <w:t>e</w:t>
      </w:r>
      <w:r w:rsidRPr="00585587">
        <w:rPr>
          <w:rFonts w:ascii="Arial" w:eastAsia="Times New Roman" w:hAnsi="Arial" w:cs="Arial"/>
          <w:szCs w:val="20"/>
          <w:lang w:eastAsia="nl-NL"/>
        </w:rPr>
        <w:t xml:space="preserve"> ziektedag index te lang geleden is en er geen klachten zijn</w:t>
      </w:r>
      <w:r w:rsidR="004B723A">
        <w:rPr>
          <w:rFonts w:ascii="Arial" w:eastAsia="Times New Roman" w:hAnsi="Arial" w:cs="Arial"/>
          <w:szCs w:val="20"/>
          <w:lang w:eastAsia="nl-NL"/>
        </w:rPr>
        <w:t>,</w:t>
      </w:r>
    </w:p>
    <w:p w:rsidR="00BF5840" w:rsidRPr="00585587" w:rsidRDefault="00BF5840" w:rsidP="00BF5840">
      <w:pPr>
        <w:pStyle w:val="ListParagraph"/>
        <w:numPr>
          <w:ilvl w:val="1"/>
          <w:numId w:val="1"/>
        </w:numPr>
        <w:spacing w:before="240" w:line="360" w:lineRule="auto"/>
        <w:textAlignment w:val="baseline"/>
        <w:rPr>
          <w:rFonts w:ascii="Arial" w:eastAsia="Times New Roman" w:hAnsi="Arial" w:cs="Arial"/>
          <w:szCs w:val="20"/>
          <w:lang w:eastAsia="nl-NL"/>
        </w:rPr>
      </w:pPr>
      <w:r w:rsidRPr="00585587">
        <w:rPr>
          <w:rFonts w:ascii="Arial" w:eastAsia="Times New Roman" w:hAnsi="Arial" w:cs="Arial"/>
          <w:szCs w:val="20"/>
          <w:lang w:eastAsia="nl-NL"/>
        </w:rPr>
        <w:t>afhankelijk van duur klachten (1</w:t>
      </w:r>
      <w:r w:rsidRPr="00585587">
        <w:rPr>
          <w:rFonts w:ascii="Arial" w:eastAsia="Times New Roman" w:hAnsi="Arial" w:cs="Arial"/>
          <w:szCs w:val="20"/>
          <w:vertAlign w:val="superscript"/>
          <w:lang w:eastAsia="nl-NL"/>
        </w:rPr>
        <w:t>e</w:t>
      </w:r>
      <w:r w:rsidRPr="00585587">
        <w:rPr>
          <w:rFonts w:ascii="Arial" w:eastAsia="Times New Roman" w:hAnsi="Arial" w:cs="Arial"/>
          <w:szCs w:val="20"/>
          <w:lang w:eastAsia="nl-NL"/>
        </w:rPr>
        <w:t xml:space="preserve"> ziektedag index niet te lang geleden), aantal zieken, werkomstandigheden</w:t>
      </w:r>
      <w:r w:rsidR="004B723A">
        <w:rPr>
          <w:rFonts w:ascii="Arial" w:eastAsia="Times New Roman" w:hAnsi="Arial" w:cs="Arial"/>
          <w:szCs w:val="20"/>
          <w:lang w:eastAsia="nl-NL"/>
        </w:rPr>
        <w:t>.</w:t>
      </w:r>
      <w:r w:rsidRPr="00585587">
        <w:rPr>
          <w:rFonts w:ascii="Arial" w:eastAsia="Times New Roman" w:hAnsi="Arial" w:cs="Arial"/>
          <w:szCs w:val="20"/>
          <w:lang w:eastAsia="nl-NL"/>
        </w:rPr>
        <w:t xml:space="preserve"> </w:t>
      </w:r>
    </w:p>
    <w:p w:rsidR="00BF5840" w:rsidRPr="00585587" w:rsidRDefault="00BF5840" w:rsidP="00BF5840">
      <w:pPr>
        <w:spacing w:before="240" w:line="360" w:lineRule="auto"/>
        <w:ind w:left="1080"/>
        <w:textAlignment w:val="baseline"/>
        <w:rPr>
          <w:rFonts w:ascii="Arial" w:eastAsia="Times New Roman" w:hAnsi="Arial" w:cs="Arial"/>
          <w:szCs w:val="20"/>
          <w:lang w:eastAsia="nl-NL"/>
        </w:rPr>
      </w:pPr>
      <w:r w:rsidRPr="00585587">
        <w:rPr>
          <w:rFonts w:ascii="Arial" w:hAnsi="Arial" w:cs="Arial"/>
          <w:color w:val="000000"/>
          <w:szCs w:val="20"/>
        </w:rPr>
        <w:t xml:space="preserve">1 afwijking </w:t>
      </w:r>
      <w:r w:rsidR="004B723A">
        <w:rPr>
          <w:rFonts w:ascii="Arial" w:hAnsi="Arial" w:cs="Arial"/>
          <w:color w:val="000000"/>
          <w:szCs w:val="20"/>
        </w:rPr>
        <w:t xml:space="preserve"> met betrekking tot</w:t>
      </w:r>
      <w:r w:rsidRPr="00585587">
        <w:rPr>
          <w:rFonts w:ascii="Arial" w:hAnsi="Arial" w:cs="Arial"/>
          <w:color w:val="000000"/>
          <w:szCs w:val="20"/>
        </w:rPr>
        <w:t xml:space="preserve"> </w:t>
      </w:r>
      <w:r w:rsidRPr="00BF5840">
        <w:rPr>
          <w:rFonts w:ascii="Arial" w:hAnsi="Arial" w:cs="Arial"/>
          <w:color w:val="000000"/>
          <w:szCs w:val="20"/>
        </w:rPr>
        <w:t>weringsadvies</w:t>
      </w:r>
      <w:r w:rsidR="004B723A">
        <w:rPr>
          <w:rFonts w:ascii="Arial" w:hAnsi="Arial" w:cs="Arial"/>
          <w:color w:val="000000"/>
          <w:szCs w:val="20"/>
        </w:rPr>
        <w:t>:</w:t>
      </w:r>
    </w:p>
    <w:p w:rsidR="00BF5840" w:rsidRPr="00585587" w:rsidRDefault="00BF5840" w:rsidP="00BF5840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Cs w:val="20"/>
        </w:rPr>
      </w:pPr>
      <w:r w:rsidRPr="00585587">
        <w:rPr>
          <w:rFonts w:ascii="Arial" w:hAnsi="Arial" w:cs="Arial"/>
          <w:color w:val="000000"/>
          <w:szCs w:val="20"/>
        </w:rPr>
        <w:t>E</w:t>
      </w:r>
      <w:r w:rsidRPr="00585587">
        <w:rPr>
          <w:rFonts w:ascii="Arial" w:eastAsia="Times New Roman" w:hAnsi="Arial" w:cs="Arial"/>
          <w:szCs w:val="20"/>
          <w:lang w:eastAsia="nl-NL"/>
        </w:rPr>
        <w:t>én GGD hanteerde geen weringsadvies indien het contact geen klachten meer had, ondanks een positieve kweek</w:t>
      </w:r>
    </w:p>
    <w:p w:rsidR="00BF5840" w:rsidRDefault="00BF5840" w:rsidP="00BF5840">
      <w:pPr>
        <w:spacing w:line="360" w:lineRule="auto"/>
        <w:rPr>
          <w:rFonts w:ascii="Arial" w:hAnsi="Arial" w:cs="Arial"/>
          <w:color w:val="000000"/>
          <w:szCs w:val="20"/>
        </w:rPr>
      </w:pPr>
    </w:p>
    <w:p w:rsidR="00BF5840" w:rsidRPr="00BF5840" w:rsidRDefault="00BF5840" w:rsidP="00BF584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Cs w:val="20"/>
        </w:rPr>
      </w:pPr>
      <w:r w:rsidRPr="00BF5840">
        <w:rPr>
          <w:rFonts w:ascii="Arial" w:hAnsi="Arial" w:cs="Arial"/>
          <w:color w:val="000000"/>
          <w:szCs w:val="20"/>
        </w:rPr>
        <w:t xml:space="preserve">Aantal uitbraken gerapporteerd in de afgelopen 3 jaar: </w:t>
      </w:r>
    </w:p>
    <w:p w:rsidR="00BF5840" w:rsidRPr="00585587" w:rsidRDefault="00BF5840" w:rsidP="00BF58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Cs w:val="20"/>
        </w:rPr>
      </w:pPr>
      <w:r w:rsidRPr="00585587">
        <w:rPr>
          <w:rFonts w:ascii="Arial" w:hAnsi="Arial" w:cs="Arial"/>
          <w:color w:val="000000"/>
          <w:szCs w:val="20"/>
        </w:rPr>
        <w:t>2017: 4, waarvan 3 voedsel-gerelateerd</w:t>
      </w:r>
      <w:r w:rsidR="004B723A">
        <w:rPr>
          <w:rFonts w:ascii="Arial" w:hAnsi="Arial" w:cs="Arial"/>
          <w:color w:val="000000"/>
          <w:szCs w:val="20"/>
        </w:rPr>
        <w:t>,</w:t>
      </w:r>
      <w:r w:rsidRPr="00585587">
        <w:rPr>
          <w:rFonts w:ascii="Arial" w:hAnsi="Arial" w:cs="Arial"/>
          <w:color w:val="000000"/>
          <w:szCs w:val="20"/>
        </w:rPr>
        <w:t xml:space="preserve"> </w:t>
      </w:r>
    </w:p>
    <w:p w:rsidR="00BF5840" w:rsidRPr="00585587" w:rsidRDefault="00BF5840" w:rsidP="00BF58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Cs w:val="20"/>
        </w:rPr>
      </w:pPr>
      <w:r w:rsidRPr="00585587">
        <w:rPr>
          <w:rFonts w:ascii="Arial" w:hAnsi="Arial" w:cs="Arial"/>
          <w:color w:val="000000"/>
          <w:szCs w:val="20"/>
        </w:rPr>
        <w:t>2016: 6, waarvan 3 voedsel-gerelateerd</w:t>
      </w:r>
      <w:r w:rsidR="004B723A">
        <w:rPr>
          <w:rFonts w:ascii="Arial" w:hAnsi="Arial" w:cs="Arial"/>
          <w:color w:val="000000"/>
          <w:szCs w:val="20"/>
        </w:rPr>
        <w:t>,</w:t>
      </w:r>
      <w:r w:rsidRPr="00585587">
        <w:rPr>
          <w:rFonts w:ascii="Arial" w:hAnsi="Arial" w:cs="Arial"/>
          <w:color w:val="000000"/>
          <w:szCs w:val="20"/>
        </w:rPr>
        <w:t xml:space="preserve"> </w:t>
      </w:r>
    </w:p>
    <w:p w:rsidR="00BF5840" w:rsidRPr="00585587" w:rsidRDefault="00BF5840" w:rsidP="00BF58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Cs w:val="20"/>
        </w:rPr>
      </w:pPr>
      <w:r w:rsidRPr="00585587">
        <w:rPr>
          <w:rFonts w:ascii="Arial" w:hAnsi="Arial" w:cs="Arial"/>
          <w:color w:val="000000"/>
          <w:szCs w:val="20"/>
        </w:rPr>
        <w:t>2015: 7, waarvan 1 voedsel-gerelateerd</w:t>
      </w:r>
      <w:r w:rsidR="004B723A">
        <w:rPr>
          <w:rFonts w:ascii="Arial" w:hAnsi="Arial" w:cs="Arial"/>
          <w:color w:val="000000"/>
          <w:szCs w:val="20"/>
        </w:rPr>
        <w:t>.</w:t>
      </w:r>
    </w:p>
    <w:p w:rsidR="00BF5840" w:rsidRDefault="00BF5840" w:rsidP="00BF5840">
      <w:pPr>
        <w:spacing w:line="360" w:lineRule="auto"/>
        <w:textAlignment w:val="baseline"/>
        <w:rPr>
          <w:rFonts w:ascii="Arial" w:eastAsia="Times New Roman" w:hAnsi="Arial" w:cs="Arial"/>
          <w:szCs w:val="20"/>
          <w:lang w:eastAsia="nl-NL"/>
        </w:rPr>
      </w:pPr>
    </w:p>
    <w:p w:rsidR="00BF5840" w:rsidRPr="00BF5840" w:rsidRDefault="00BF5840" w:rsidP="00BF5840">
      <w:pPr>
        <w:pStyle w:val="ListParagraph"/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szCs w:val="20"/>
          <w:lang w:eastAsia="nl-NL"/>
        </w:rPr>
      </w:pPr>
      <w:r w:rsidRPr="00BF5840">
        <w:rPr>
          <w:rFonts w:ascii="Arial" w:eastAsia="Times New Roman" w:hAnsi="Arial" w:cs="Arial"/>
          <w:szCs w:val="20"/>
          <w:lang w:eastAsia="nl-NL"/>
        </w:rPr>
        <w:t xml:space="preserve">De </w:t>
      </w:r>
      <w:proofErr w:type="spellStart"/>
      <w:r w:rsidRPr="00BF5840">
        <w:rPr>
          <w:rFonts w:ascii="Arial" w:eastAsia="Times New Roman" w:hAnsi="Arial" w:cs="Arial"/>
          <w:szCs w:val="20"/>
          <w:lang w:eastAsia="nl-NL"/>
        </w:rPr>
        <w:t>GGD’en</w:t>
      </w:r>
      <w:proofErr w:type="spellEnd"/>
      <w:r w:rsidRPr="00BF5840">
        <w:rPr>
          <w:rFonts w:ascii="Arial" w:eastAsia="Times New Roman" w:hAnsi="Arial" w:cs="Arial"/>
          <w:szCs w:val="20"/>
          <w:lang w:eastAsia="nl-NL"/>
        </w:rPr>
        <w:t xml:space="preserve"> die afwijken van de richtlijn (n=5) hebben niet méér uitbraken of méér meldingen dan de andere </w:t>
      </w:r>
      <w:proofErr w:type="spellStart"/>
      <w:r w:rsidRPr="00BF5840">
        <w:rPr>
          <w:rFonts w:ascii="Arial" w:eastAsia="Times New Roman" w:hAnsi="Arial" w:cs="Arial"/>
          <w:szCs w:val="20"/>
          <w:lang w:eastAsia="nl-NL"/>
        </w:rPr>
        <w:t>GGD’en</w:t>
      </w:r>
      <w:proofErr w:type="spellEnd"/>
      <w:r w:rsidRPr="00BF5840">
        <w:rPr>
          <w:rFonts w:ascii="Arial" w:eastAsia="Times New Roman" w:hAnsi="Arial" w:cs="Arial"/>
          <w:szCs w:val="20"/>
          <w:lang w:eastAsia="nl-NL"/>
        </w:rPr>
        <w:t xml:space="preserve"> (n=16)</w:t>
      </w:r>
      <w:r w:rsidRPr="00BF5840">
        <w:rPr>
          <w:rFonts w:ascii="Arial" w:eastAsia="Times New Roman" w:hAnsi="Arial" w:cs="Arial"/>
          <w:szCs w:val="20"/>
          <w:lang w:eastAsia="nl-NL"/>
        </w:rPr>
        <w:t>, zie tabel</w:t>
      </w:r>
      <w:r w:rsidRPr="00BF5840">
        <w:rPr>
          <w:rFonts w:ascii="Arial" w:eastAsia="Times New Roman" w:hAnsi="Arial" w:cs="Arial"/>
          <w:szCs w:val="20"/>
          <w:lang w:eastAsia="nl-NL"/>
        </w:rPr>
        <w:t xml:space="preserve"> </w:t>
      </w:r>
      <w:r w:rsidRPr="00BF5840">
        <w:rPr>
          <w:rFonts w:ascii="Arial" w:eastAsia="Times New Roman" w:hAnsi="Arial" w:cs="Arial"/>
          <w:szCs w:val="20"/>
          <w:lang w:eastAsia="nl-NL"/>
        </w:rPr>
        <w:t>1</w:t>
      </w:r>
    </w:p>
    <w:p w:rsidR="00BF5840" w:rsidRPr="00585587" w:rsidRDefault="00BF5840" w:rsidP="00BF5840">
      <w:pPr>
        <w:spacing w:line="360" w:lineRule="auto"/>
        <w:textAlignment w:val="baseline"/>
        <w:rPr>
          <w:rFonts w:ascii="Arial" w:eastAsia="Times New Roman" w:hAnsi="Arial" w:cs="Arial"/>
          <w:szCs w:val="20"/>
          <w:lang w:eastAsia="nl-NL"/>
        </w:rPr>
      </w:pPr>
    </w:p>
    <w:p w:rsidR="00BF5840" w:rsidRDefault="00BF5840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BF5840" w:rsidRPr="00585587" w:rsidRDefault="00BF5840" w:rsidP="00BF5840">
      <w:pPr>
        <w:spacing w:line="360" w:lineRule="auto"/>
        <w:ind w:left="284"/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T</w:t>
      </w:r>
      <w:r w:rsidRPr="00585587">
        <w:rPr>
          <w:rFonts w:ascii="Arial" w:hAnsi="Arial" w:cs="Arial"/>
          <w:color w:val="000000"/>
          <w:sz w:val="18"/>
          <w:szCs w:val="18"/>
        </w:rPr>
        <w:t>abel</w:t>
      </w:r>
      <w:r>
        <w:rPr>
          <w:rFonts w:ascii="Arial" w:hAnsi="Arial" w:cs="Arial"/>
          <w:color w:val="000000"/>
          <w:sz w:val="18"/>
          <w:szCs w:val="18"/>
        </w:rPr>
        <w:t xml:space="preserve"> 1</w:t>
      </w:r>
      <w:r w:rsidRPr="00585587">
        <w:rPr>
          <w:rFonts w:ascii="Arial" w:hAnsi="Arial" w:cs="Arial"/>
          <w:color w:val="000000"/>
          <w:sz w:val="18"/>
          <w:szCs w:val="18"/>
        </w:rPr>
        <w:t xml:space="preserve">. Associatie tussen of </w:t>
      </w:r>
      <w:proofErr w:type="spellStart"/>
      <w:r w:rsidRPr="00585587">
        <w:rPr>
          <w:rFonts w:ascii="Arial" w:hAnsi="Arial" w:cs="Arial"/>
          <w:color w:val="000000"/>
          <w:sz w:val="18"/>
          <w:szCs w:val="18"/>
        </w:rPr>
        <w:t>GGD’en</w:t>
      </w:r>
      <w:proofErr w:type="spellEnd"/>
      <w:r w:rsidRPr="00585587">
        <w:rPr>
          <w:rFonts w:ascii="Arial" w:hAnsi="Arial" w:cs="Arial"/>
          <w:color w:val="000000"/>
          <w:sz w:val="18"/>
          <w:szCs w:val="18"/>
        </w:rPr>
        <w:t xml:space="preserve"> afwijken van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</w:t>
      </w:r>
      <w:r w:rsidRPr="00585587">
        <w:rPr>
          <w:rFonts w:ascii="Arial" w:hAnsi="Arial" w:cs="Arial"/>
          <w:color w:val="000000"/>
          <w:sz w:val="18"/>
          <w:szCs w:val="18"/>
        </w:rPr>
        <w:t>higellarichtlijn</w:t>
      </w:r>
      <w:proofErr w:type="spellEnd"/>
      <w:r w:rsidRPr="00585587">
        <w:rPr>
          <w:rFonts w:ascii="Arial" w:hAnsi="Arial" w:cs="Arial"/>
          <w:color w:val="000000"/>
          <w:sz w:val="18"/>
          <w:szCs w:val="18"/>
        </w:rPr>
        <w:t xml:space="preserve"> wat betreft contactonderzoek en het hebben van een uitbraak in de laatste 3 jaar of het hebben van meer dan 2,0 meldingen per 100.000 bevolking (n=21)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03"/>
        <w:gridCol w:w="1701"/>
        <w:gridCol w:w="1701"/>
        <w:gridCol w:w="1156"/>
      </w:tblGrid>
      <w:tr w:rsidR="00BF5840" w:rsidRPr="00585587" w:rsidTr="005F2EFE">
        <w:tc>
          <w:tcPr>
            <w:tcW w:w="3103" w:type="dxa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-691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 xml:space="preserve">GGD wijkt af </w:t>
            </w:r>
            <w:r w:rsidRPr="00585587">
              <w:rPr>
                <w:rFonts w:ascii="Arial" w:hAnsi="Arial" w:cs="Arial"/>
                <w:color w:val="000000"/>
                <w:szCs w:val="20"/>
              </w:rPr>
              <w:br/>
              <w:t>van de richtlijn</w:t>
            </w:r>
          </w:p>
        </w:tc>
        <w:tc>
          <w:tcPr>
            <w:tcW w:w="1701" w:type="dxa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GGD volgt richtlijn letterlijk</w:t>
            </w:r>
          </w:p>
        </w:tc>
        <w:tc>
          <w:tcPr>
            <w:tcW w:w="1156" w:type="dxa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Cs w:val="20"/>
              </w:rPr>
              <w:t>-</w:t>
            </w:r>
            <w:r w:rsidRPr="00585587">
              <w:rPr>
                <w:rFonts w:ascii="Arial" w:hAnsi="Arial" w:cs="Arial"/>
                <w:color w:val="000000"/>
                <w:szCs w:val="20"/>
              </w:rPr>
              <w:t>waarde</w:t>
            </w:r>
          </w:p>
        </w:tc>
      </w:tr>
      <w:tr w:rsidR="00BF5840" w:rsidRPr="00585587" w:rsidTr="005F2EFE">
        <w:tc>
          <w:tcPr>
            <w:tcW w:w="3103" w:type="dxa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Uitbraak in laatste 3 jaar</w:t>
            </w:r>
          </w:p>
        </w:tc>
        <w:tc>
          <w:tcPr>
            <w:tcW w:w="1701" w:type="dxa"/>
            <w:vAlign w:val="center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3 (60%)</w:t>
            </w:r>
          </w:p>
        </w:tc>
        <w:tc>
          <w:tcPr>
            <w:tcW w:w="1701" w:type="dxa"/>
            <w:vAlign w:val="center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7 (44%)</w:t>
            </w:r>
          </w:p>
        </w:tc>
        <w:tc>
          <w:tcPr>
            <w:tcW w:w="1156" w:type="dxa"/>
            <w:vMerge w:val="restart"/>
            <w:vAlign w:val="center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0,4</w:t>
            </w:r>
          </w:p>
        </w:tc>
      </w:tr>
      <w:tr w:rsidR="00BF5840" w:rsidRPr="00585587" w:rsidTr="005F2EFE">
        <w:tc>
          <w:tcPr>
            <w:tcW w:w="3103" w:type="dxa"/>
            <w:tcBorders>
              <w:bottom w:val="single" w:sz="12" w:space="0" w:color="auto"/>
            </w:tcBorders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Geen uitbraak in laatste 3 jaar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2 (40%)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9 (56%)</w:t>
            </w:r>
          </w:p>
        </w:tc>
        <w:tc>
          <w:tcPr>
            <w:tcW w:w="1156" w:type="dxa"/>
            <w:vMerge/>
            <w:tcBorders>
              <w:bottom w:val="single" w:sz="12" w:space="0" w:color="auto"/>
            </w:tcBorders>
            <w:vAlign w:val="center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F5840" w:rsidRPr="00585587" w:rsidTr="005F2EFE">
        <w:tc>
          <w:tcPr>
            <w:tcW w:w="3103" w:type="dxa"/>
            <w:tcBorders>
              <w:top w:val="single" w:sz="12" w:space="0" w:color="auto"/>
              <w:bottom w:val="single" w:sz="4" w:space="0" w:color="auto"/>
            </w:tcBorders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 xml:space="preserve">Meer dan 2,0 meldingen per </w:t>
            </w:r>
            <w:r w:rsidRPr="00585587">
              <w:rPr>
                <w:rFonts w:ascii="Arial" w:hAnsi="Arial" w:cs="Arial"/>
                <w:color w:val="000000"/>
                <w:szCs w:val="20"/>
              </w:rPr>
              <w:br/>
              <w:t xml:space="preserve">   100.000 bevolking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2 (40%)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9 (56%)</w:t>
            </w:r>
          </w:p>
        </w:tc>
        <w:tc>
          <w:tcPr>
            <w:tcW w:w="1156" w:type="dxa"/>
            <w:vMerge w:val="restart"/>
            <w:tcBorders>
              <w:top w:val="single" w:sz="12" w:space="0" w:color="auto"/>
            </w:tcBorders>
            <w:vAlign w:val="center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0,4</w:t>
            </w:r>
          </w:p>
        </w:tc>
      </w:tr>
      <w:tr w:rsidR="00BF5840" w:rsidRPr="00585587" w:rsidTr="005F2EFE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 xml:space="preserve">Minder dan 2,0 meldingen per </w:t>
            </w:r>
            <w:r w:rsidRPr="00585587">
              <w:rPr>
                <w:rFonts w:ascii="Arial" w:hAnsi="Arial" w:cs="Arial"/>
                <w:color w:val="000000"/>
                <w:szCs w:val="20"/>
              </w:rPr>
              <w:br/>
              <w:t xml:space="preserve">   100.000 bevolking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3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85587">
              <w:rPr>
                <w:rFonts w:ascii="Arial" w:hAnsi="Arial" w:cs="Arial"/>
                <w:color w:val="000000"/>
                <w:szCs w:val="20"/>
              </w:rPr>
              <w:t>7 (44%)</w:t>
            </w:r>
          </w:p>
        </w:tc>
        <w:tc>
          <w:tcPr>
            <w:tcW w:w="1156" w:type="dxa"/>
            <w:vMerge/>
            <w:tcBorders>
              <w:bottom w:val="single" w:sz="4" w:space="0" w:color="auto"/>
            </w:tcBorders>
          </w:tcPr>
          <w:p w:rsidR="00BF5840" w:rsidRPr="00585587" w:rsidRDefault="00BF5840" w:rsidP="005F2EF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C011CB" w:rsidRDefault="004B723A"/>
    <w:sectPr w:rsidR="00C0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jksoverheidSansText">
    <w:panose1 w:val="020B0503040202060203"/>
    <w:charset w:val="00"/>
    <w:family w:val="swiss"/>
    <w:notTrueType/>
    <w:pitch w:val="variable"/>
    <w:sig w:usb0="00000087" w:usb1="00000001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7F5A"/>
    <w:multiLevelType w:val="hybridMultilevel"/>
    <w:tmpl w:val="BBF8A5C8"/>
    <w:lvl w:ilvl="0" w:tplc="EC669FC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RijksoverheidSansTex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179B"/>
    <w:multiLevelType w:val="hybridMultilevel"/>
    <w:tmpl w:val="62BC544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95BD4"/>
    <w:multiLevelType w:val="hybridMultilevel"/>
    <w:tmpl w:val="98D49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95F00"/>
    <w:multiLevelType w:val="hybridMultilevel"/>
    <w:tmpl w:val="2A04533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40"/>
    <w:rsid w:val="000A3284"/>
    <w:rsid w:val="004B723A"/>
    <w:rsid w:val="005E70D2"/>
    <w:rsid w:val="00B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2D01"/>
  <w15:chartTrackingRefBased/>
  <w15:docId w15:val="{41E1AA02-CFF8-46F6-A6A7-773AF558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8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840"/>
    <w:pPr>
      <w:ind w:left="720"/>
      <w:contextualSpacing/>
    </w:pPr>
  </w:style>
  <w:style w:type="table" w:styleId="TableGrid">
    <w:name w:val="Table Grid"/>
    <w:basedOn w:val="TableNormal"/>
    <w:uiPriority w:val="39"/>
    <w:rsid w:val="00BF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5F70F0E7</Template>
  <TotalTime>9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Bouwer</dc:creator>
  <cp:keywords/>
  <dc:description/>
  <cp:lastModifiedBy>Marion Bouwer</cp:lastModifiedBy>
  <cp:revision>1</cp:revision>
  <dcterms:created xsi:type="dcterms:W3CDTF">2019-11-14T14:27:00Z</dcterms:created>
  <dcterms:modified xsi:type="dcterms:W3CDTF">2019-11-14T14:36:00Z</dcterms:modified>
</cp:coreProperties>
</file>